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B503E9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ЈАВНО КОМУНАЛНО ПРЕДУЗЕЋЕ "НАШ ДОМ" АПАТИН</w:t>
      </w:r>
    </w:p>
    <w:p w:rsidR="001F55F6" w:rsidRPr="001F55F6" w:rsidRDefault="00B503E9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100965918</w:t>
      </w:r>
    </w:p>
    <w:p w:rsidR="00601DBA" w:rsidRDefault="00B503E9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ЖЕЛЕЗНИЧКА БР.4</w:t>
      </w:r>
    </w:p>
    <w:p w:rsidR="001F55F6" w:rsidRPr="001F55F6" w:rsidRDefault="00B503E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АПАТИН</w:t>
      </w:r>
    </w:p>
    <w:bookmarkEnd w:id="1"/>
    <w:p w:rsidR="001F55F6" w:rsidRPr="001F55F6" w:rsidRDefault="00B503E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B503E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06.02.2023</w:t>
      </w:r>
    </w:p>
    <w:p w:rsidR="001F55F6" w:rsidRPr="001F55F6" w:rsidRDefault="00B503E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21/2023</w:t>
      </w:r>
    </w:p>
    <w:p w:rsidR="001F55F6" w:rsidRPr="00A9707B" w:rsidRDefault="00B503E9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B503E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1F55F6">
        <w:rPr>
          <w:rFonts w:cstheme="minorHAnsi"/>
          <w:b/>
          <w:sz w:val="32"/>
          <w:szCs w:val="32"/>
          <w:lang w:val="sr-Latn-BA"/>
        </w:rPr>
        <w:t>ДОДЕЛИ УГОВОРА</w:t>
      </w:r>
      <w:bookmarkEnd w:id="10"/>
    </w:p>
    <w:p w:rsidR="001F55F6" w:rsidRPr="001F55F6" w:rsidRDefault="00B503E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ЈАВНО КОМУНАЛНО ПРЕДУЗЕЋЕ "НАШ ДОМ" АПАТИН</w:t>
      </w:r>
    </w:p>
    <w:p w:rsidR="001F55F6" w:rsidRPr="001F55F6" w:rsidRDefault="00B503E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21/2023</w:t>
      </w:r>
    </w:p>
    <w:p w:rsidR="001F55F6" w:rsidRPr="001F55F6" w:rsidRDefault="00B503E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</w:t>
      </w:r>
    </w:p>
    <w:p w:rsidR="001F55F6" w:rsidRPr="001F55F6" w:rsidRDefault="00B503E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Ф02-0000224</w:t>
      </w:r>
    </w:p>
    <w:p w:rsidR="001F55F6" w:rsidRPr="001F55F6" w:rsidRDefault="00B503E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74548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4548" w:rsidRPr="005F01C2">
        <w:rPr>
          <w:rFonts w:asciiTheme="minorHAnsi" w:hAnsiTheme="minorHAnsi" w:cstheme="minorHAnsi"/>
          <w:sz w:val="20"/>
          <w:szCs w:val="20"/>
        </w:rPr>
      </w:r>
      <w:r w:rsidR="00374548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7454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4548" w:rsidRPr="00AC11B5">
        <w:rPr>
          <w:rFonts w:asciiTheme="minorHAnsi" w:hAnsiTheme="minorHAnsi" w:cstheme="minorHAnsi"/>
          <w:sz w:val="20"/>
          <w:szCs w:val="20"/>
        </w:rPr>
      </w:r>
      <w:r w:rsidR="0037454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7454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4548" w:rsidRPr="00AC11B5">
        <w:rPr>
          <w:rFonts w:asciiTheme="minorHAnsi" w:hAnsiTheme="minorHAnsi" w:cstheme="minorHAnsi"/>
          <w:sz w:val="20"/>
          <w:szCs w:val="20"/>
        </w:rPr>
      </w:r>
      <w:r w:rsidR="0037454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B503E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09310000</w:t>
      </w:r>
    </w:p>
    <w:p w:rsidR="001F55F6" w:rsidRPr="001F55F6" w:rsidRDefault="00B503E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</w:t>
      </w:r>
    </w:p>
    <w:p w:rsidR="001F55F6" w:rsidRPr="00B84A8C" w:rsidRDefault="00B503E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44.000.000,00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B503E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привредном </w:t>
      </w:r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37454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503E9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ЈП ЕПС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Масарикова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B503E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44.675.631,00</w:t>
      </w:r>
    </w:p>
    <w:p w:rsidR="001F55F6" w:rsidRPr="00B84A8C" w:rsidRDefault="00B503E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53.610.757,20</w:t>
      </w:r>
    </w:p>
    <w:p w:rsidR="001F55F6" w:rsidRPr="00B84A8C" w:rsidRDefault="00B503E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37454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37454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4548">
        <w:trPr>
          <w:trHeight w:val="40"/>
        </w:trPr>
        <w:tc>
          <w:tcPr>
            <w:tcW w:w="15397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37454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Електрична енергија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21/2023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21/2023, 05.01.2023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44.000.000,00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3745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09310000-Електрична енергија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3745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37454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Предметна набавка се не може обликовати у партијама.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Број </w:t>
                  </w:r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Ф02-0000224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07.01.2023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02.02.2023 12:00:00</w:t>
                  </w:r>
                </w:p>
              </w:tc>
            </w:tr>
          </w:tbl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37454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Никола Прица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Павловић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Дијана  Видаковић</w:t>
                  </w:r>
                </w:p>
              </w:tc>
            </w:tr>
          </w:tbl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7454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374548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7454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Електрична енергија</w:t>
                              </w:r>
                            </w:p>
                          </w:tc>
                        </w:tr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4548" w:rsidRDefault="003745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rPr>
          <w:trHeight w:val="56"/>
        </w:trPr>
        <w:tc>
          <w:tcPr>
            <w:tcW w:w="15397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74548" w:rsidRDefault="00B503E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74548" w:rsidRDefault="0037454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37454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7454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02.02.2023 12:00:00</w:t>
                  </w:r>
                </w:p>
              </w:tc>
            </w:tr>
            <w:tr w:rsidR="0037454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02.02.2023 12:02:09</w:t>
                  </w:r>
                </w:p>
              </w:tc>
            </w:tr>
            <w:tr w:rsidR="00374548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7454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454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37454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Снабдевање, Масарикова 1-3,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81269/1-23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1.2.2023. 16:26:10</w:t>
                              </w:r>
                            </w:p>
                          </w:tc>
                        </w:tr>
                      </w:tbl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74548" w:rsidRDefault="003745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rPr>
          <w:trHeight w:val="62"/>
        </w:trPr>
        <w:tc>
          <w:tcPr>
            <w:tcW w:w="15397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74548" w:rsidRDefault="00B503E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74548" w:rsidRDefault="0037454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37454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7454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37454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37454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30"/>
                          <w:gridCol w:w="1130"/>
                          <w:gridCol w:w="1123"/>
                          <w:gridCol w:w="1125"/>
                          <w:gridCol w:w="1124"/>
                        </w:tblGrid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3745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Подаци 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44675631.00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53610757.20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74548" w:rsidRDefault="003745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rPr>
          <w:trHeight w:val="50"/>
        </w:trPr>
        <w:tc>
          <w:tcPr>
            <w:tcW w:w="15392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7454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7454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37454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0"/>
                          <w:gridCol w:w="1130"/>
                          <w:gridCol w:w="1122"/>
                          <w:gridCol w:w="1125"/>
                          <w:gridCol w:w="1124"/>
                        </w:tblGrid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3745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44675631.00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53610757.20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74548" w:rsidRDefault="003745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rPr>
          <w:trHeight w:val="48"/>
        </w:trPr>
        <w:tc>
          <w:tcPr>
            <w:tcW w:w="15392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37454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548" w:rsidRDefault="00B50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374548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37454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6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Одбијено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44.675.631,00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53.610.757,20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Сагласно члану 144. став 2. Закона о јавним набавкама   не постоји обавеза да наручилац одбије сваку понуду чија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прелази процењену вредност јавне набавке.Како конкректна понуда није значајно већа од планиране вредности предметне набавке, и с обзиром на чињеницу да је пристигла само једна понуда,како би се обезедило несметано функционисање предузећа, као и водосн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абдевање.</w:t>
                              </w:r>
                            </w:p>
                          </w:tc>
                        </w:tr>
                      </w:tbl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4548" w:rsidRDefault="003745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rPr>
          <w:trHeight w:val="14"/>
        </w:trPr>
        <w:tc>
          <w:tcPr>
            <w:tcW w:w="15392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37454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7454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7454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3745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7454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Директор, је прихватао предлог Комисије за јвне набавке о избору најповољније понуде, и донео Одлуку о додели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уговора.</w:t>
                              </w:r>
                            </w:p>
                          </w:tc>
                        </w:tr>
                      </w:tbl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454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454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44.675.631,00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454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454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7454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4548" w:rsidRDefault="00B50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Сходно члану 119. став 1. Закона о јавним набавкама. Комисија је утврдила да је понуђач ЈП ЕПС Огранак ЕПС Снабдевање, Макензијева 37/2 , Београд, регистрован у регистру  понуђача тако да нема основа за искључење из Члана 111. став 1. тачка 1. и 2.  Закона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о јавним набавкама.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је прилком подношења понуде доставио тражне доказе за сипуњеност критеријума за квалитативни избор привредног субјекта, тражених конкурсном документацијом, тако да није потребно тражити достављање истих. Комисија је приликом п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регледа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тражених доказа утврдила да су сви докази исправни.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Комисија је констатовала да је понуђена цена већа од процене вредности предметне набавке.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Како конкректна понуда није значајно већа од планиране вредности предметне набавке, и с обзиром на чињениц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 да је пристигла само једна понуда,како би се обезедило несметано функционисање предузећа, као и водоснабдевање Комисија прдлаже Директору: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 Да се Уговор о снабдевању електричном енргијом додели понђачу ЈП ЕПС Огранак ЕПС Снабдевање, Масарикова 1-3, Бео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град, према јединичним ценама изпонуде.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Директор, је прихватао предлог Комисије за јвне набавке о избору најповољније понуде, и донео Одлуку о додели уговора.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454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4548" w:rsidRDefault="003745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74548" w:rsidRDefault="003745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4548">
        <w:trPr>
          <w:trHeight w:val="523"/>
        </w:trPr>
        <w:tc>
          <w:tcPr>
            <w:tcW w:w="15392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4548" w:rsidRDefault="003745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74548" w:rsidRDefault="0037454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745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B503E9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Сходно члану 119. став 1. Закона о јавним набавкама. Комисија је утврдила да је понуђач ЈП ЕПС Огранак ЕПС Снабдевање, Макензијева 37/2 , Београд, регистрован у регистру  понуђача тако да нема основа за искључење из Члана 111. став 1. тачка 1. и 2.  Закона</w:t>
      </w:r>
      <w:r>
        <w:rPr>
          <w:rFonts w:ascii="Calibri" w:eastAsia="Calibri" w:hAnsi="Calibri" w:cs="Calibri"/>
          <w:w w:val="100"/>
        </w:rPr>
        <w:t xml:space="preserve"> о јавним набавкама. </w:t>
      </w:r>
    </w:p>
    <w:p w:rsidR="00374548" w:rsidRDefault="00B503E9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Понуђач је прилком подношења понуде доставио тражне доказе за сипуњеност критеријума за квалитативни избор привредног субјекта, тражених конкурсном документацијом, тако да није потребно тражити достављање истих. Комисија је приликом </w:t>
      </w:r>
      <w:r>
        <w:rPr>
          <w:rFonts w:ascii="Calibri" w:eastAsia="Calibri" w:hAnsi="Calibri" w:cs="Calibri"/>
          <w:w w:val="100"/>
        </w:rPr>
        <w:t>прегледа тражених доказа утврдила да су сви докази исправни.</w:t>
      </w:r>
    </w:p>
    <w:p w:rsidR="00374548" w:rsidRDefault="00B503E9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Комисија је констатовала да је понуђена цена већа од процене вредности предметне набавке.</w:t>
      </w:r>
    </w:p>
    <w:p w:rsidR="00374548" w:rsidRDefault="00B503E9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Како конкректна понуда није значајно већа од планиране вредности предметне набавке, и с обзиром на чињени</w:t>
      </w:r>
      <w:r>
        <w:rPr>
          <w:rFonts w:ascii="Calibri" w:eastAsia="Calibri" w:hAnsi="Calibri" w:cs="Calibri"/>
          <w:w w:val="100"/>
        </w:rPr>
        <w:t>цу да је пристигла само једна понуда,како би се обезедило несметано функционисање предузећа, као и водоснабдевање Комисија прдлаже Директору:</w:t>
      </w:r>
    </w:p>
    <w:p w:rsidR="00374548" w:rsidRDefault="00B503E9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1. Да се Уговор о снабдевању електричном енргијом додели понђачу ЈП ЕПС Огранак ЕПС Снабдевање, Масарикова 1-3, Бе</w:t>
      </w:r>
      <w:r>
        <w:rPr>
          <w:rFonts w:ascii="Calibri" w:eastAsia="Calibri" w:hAnsi="Calibri" w:cs="Calibri"/>
          <w:w w:val="100"/>
        </w:rPr>
        <w:t>оград, према јединичним ценама изпонуде.</w:t>
      </w:r>
    </w:p>
    <w:p w:rsidR="00374548" w:rsidRDefault="00B503E9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Директор, је прихватао предлог Комисије за јвне набавке о избору најповољније понуде, и донео Одлуку о додели уговора.</w:t>
      </w:r>
    </w:p>
    <w:p w:rsidR="00374548" w:rsidRDefault="00374548" w:rsidP="008C5725">
      <w:pPr>
        <w:rPr>
          <w:rFonts w:ascii="Calibri" w:eastAsia="Calibri" w:hAnsi="Calibri" w:cs="Calibri"/>
          <w:w w:val="100"/>
        </w:rPr>
      </w:pPr>
    </w:p>
    <w:p w:rsidR="001F55F6" w:rsidRPr="00F61EC9" w:rsidRDefault="00B503E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B503E9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3E9" w:rsidRDefault="00B503E9" w:rsidP="00374548">
      <w:pPr>
        <w:spacing w:before="0" w:after="0"/>
      </w:pPr>
      <w:r>
        <w:separator/>
      </w:r>
    </w:p>
  </w:endnote>
  <w:endnote w:type="continuationSeparator" w:id="1">
    <w:p w:rsidR="00B503E9" w:rsidRDefault="00B503E9" w:rsidP="003745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37454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37454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B503E9">
      <w:rPr>
        <w:caps/>
        <w:sz w:val="12"/>
        <w:szCs w:val="12"/>
        <w:lang w:val="hr-HR"/>
      </w:rPr>
      <w:tab/>
    </w:r>
    <w:r w:rsidR="00B503E9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B503E9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3E9" w:rsidRDefault="00B503E9" w:rsidP="00374548">
      <w:pPr>
        <w:spacing w:before="0" w:after="0"/>
      </w:pPr>
      <w:r>
        <w:separator/>
      </w:r>
    </w:p>
  </w:footnote>
  <w:footnote w:type="continuationSeparator" w:id="1">
    <w:p w:rsidR="00B503E9" w:rsidRDefault="00B503E9" w:rsidP="0037454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8" w:rsidRDefault="0037454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4548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503E9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52634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48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37454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2023-06-16T05:26:00Z</dcterms:created>
  <dcterms:modified xsi:type="dcterms:W3CDTF">2023-06-16T05:26:00Z</dcterms:modified>
</cp:coreProperties>
</file>